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36" w:rsidRPr="00994A15" w:rsidRDefault="00994A15" w:rsidP="00994A15">
      <w:pPr>
        <w:jc w:val="center"/>
        <w:rPr>
          <w:rFonts w:ascii="Verdana" w:hAnsi="Verdana"/>
        </w:rPr>
      </w:pPr>
      <w:r w:rsidRPr="00994A15">
        <w:rPr>
          <w:rFonts w:ascii="Verdana" w:hAnsi="Verdana"/>
        </w:rPr>
        <w:t>Análisis de riesgos</w:t>
      </w:r>
    </w:p>
    <w:p w:rsidR="00994A15" w:rsidRPr="00994A15" w:rsidRDefault="00994A15">
      <w:pPr>
        <w:rPr>
          <w:rFonts w:ascii="Verdana" w:hAnsi="Verdana"/>
        </w:rPr>
      </w:pPr>
    </w:p>
    <w:p w:rsidR="00994A15" w:rsidRDefault="00994A15" w:rsidP="00994A15">
      <w:pPr>
        <w:jc w:val="both"/>
        <w:rPr>
          <w:rFonts w:ascii="Verdana" w:hAnsi="Verdana"/>
        </w:rPr>
      </w:pPr>
      <w:r w:rsidRPr="00994A15">
        <w:rPr>
          <w:rFonts w:ascii="Verdana" w:hAnsi="Verdana"/>
        </w:rPr>
        <w:t xml:space="preserve">Para el análisis de los riesgos emplee las siguientes tablas, </w:t>
      </w:r>
      <w:r>
        <w:rPr>
          <w:rFonts w:ascii="Verdana" w:hAnsi="Verdana"/>
        </w:rPr>
        <w:t>p</w:t>
      </w:r>
      <w:r w:rsidRPr="00994A15">
        <w:rPr>
          <w:rFonts w:ascii="Verdana" w:hAnsi="Verdana"/>
        </w:rPr>
        <w:t>arámetros y matriz.</w:t>
      </w:r>
    </w:p>
    <w:p w:rsidR="00D02DDD" w:rsidRDefault="00D02DDD" w:rsidP="00994A15">
      <w:pPr>
        <w:jc w:val="both"/>
        <w:rPr>
          <w:rFonts w:ascii="Verdana" w:hAnsi="Verdana"/>
        </w:rPr>
      </w:pPr>
    </w:p>
    <w:p w:rsidR="00D02DDD" w:rsidRPr="004309B4" w:rsidRDefault="00D02DDD" w:rsidP="00994A15">
      <w:pPr>
        <w:jc w:val="both"/>
        <w:rPr>
          <w:rFonts w:ascii="Verdana" w:hAnsi="Verdana"/>
          <w:sz w:val="20"/>
          <w:szCs w:val="20"/>
        </w:rPr>
      </w:pPr>
      <w:r w:rsidRPr="004309B4">
        <w:rPr>
          <w:rFonts w:ascii="Verdana" w:hAnsi="Verdana"/>
          <w:sz w:val="20"/>
          <w:szCs w:val="20"/>
        </w:rPr>
        <w:t>Estructura del análisis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383"/>
        <w:gridCol w:w="2673"/>
        <w:gridCol w:w="1943"/>
        <w:gridCol w:w="1827"/>
        <w:gridCol w:w="1228"/>
      </w:tblGrid>
      <w:tr w:rsidR="00EF4483" w:rsidRPr="00994A15" w:rsidTr="00EF4483">
        <w:tc>
          <w:tcPr>
            <w:tcW w:w="764" w:type="pct"/>
          </w:tcPr>
          <w:p w:rsidR="00EF4483" w:rsidRPr="00994A15" w:rsidRDefault="00EF4483" w:rsidP="00F43062">
            <w:pPr>
              <w:tabs>
                <w:tab w:val="left" w:pos="14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Tarea</w:t>
            </w:r>
          </w:p>
        </w:tc>
        <w:tc>
          <w:tcPr>
            <w:tcW w:w="1476" w:type="pct"/>
          </w:tcPr>
          <w:p w:rsidR="00EF4483" w:rsidRPr="00994A15" w:rsidRDefault="00F43062" w:rsidP="00F43062">
            <w:pPr>
              <w:tabs>
                <w:tab w:val="left" w:pos="14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Peligro</w:t>
            </w:r>
          </w:p>
        </w:tc>
        <w:tc>
          <w:tcPr>
            <w:tcW w:w="1073" w:type="pct"/>
          </w:tcPr>
          <w:p w:rsidR="00EF4483" w:rsidRPr="00994A15" w:rsidRDefault="00EF4483" w:rsidP="00E4395C">
            <w:pPr>
              <w:tabs>
                <w:tab w:val="left" w:pos="14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94A15">
              <w:rPr>
                <w:rFonts w:ascii="Verdana" w:hAnsi="Verdana"/>
                <w:sz w:val="20"/>
                <w:szCs w:val="20"/>
              </w:rPr>
              <w:t>P</w:t>
            </w:r>
            <w:r w:rsidR="00E4395C">
              <w:rPr>
                <w:rFonts w:ascii="Verdana" w:hAnsi="Verdana"/>
                <w:sz w:val="20"/>
                <w:szCs w:val="20"/>
              </w:rPr>
              <w:t>osibilidad</w:t>
            </w:r>
            <w:bookmarkStart w:id="0" w:name="_GoBack"/>
            <w:bookmarkEnd w:id="0"/>
          </w:p>
        </w:tc>
        <w:tc>
          <w:tcPr>
            <w:tcW w:w="1009" w:type="pct"/>
          </w:tcPr>
          <w:p w:rsidR="00EF4483" w:rsidRPr="00994A15" w:rsidRDefault="00EF4483" w:rsidP="00F43062">
            <w:pPr>
              <w:tabs>
                <w:tab w:val="left" w:pos="14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94A15">
              <w:rPr>
                <w:rFonts w:ascii="Verdana" w:hAnsi="Verdana"/>
                <w:sz w:val="20"/>
                <w:szCs w:val="20"/>
              </w:rPr>
              <w:t>Consecuencia</w:t>
            </w:r>
          </w:p>
        </w:tc>
        <w:tc>
          <w:tcPr>
            <w:tcW w:w="678" w:type="pct"/>
          </w:tcPr>
          <w:p w:rsidR="00EF4483" w:rsidRPr="00994A15" w:rsidRDefault="00EF4483" w:rsidP="00F43062">
            <w:pPr>
              <w:tabs>
                <w:tab w:val="left" w:pos="14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94A15">
              <w:rPr>
                <w:rFonts w:ascii="Verdana" w:hAnsi="Verdana"/>
                <w:sz w:val="20"/>
                <w:szCs w:val="20"/>
              </w:rPr>
              <w:t>Riesgo</w:t>
            </w:r>
          </w:p>
        </w:tc>
      </w:tr>
      <w:tr w:rsidR="00EF4483" w:rsidRPr="00994A15" w:rsidTr="00EF4483">
        <w:tc>
          <w:tcPr>
            <w:tcW w:w="764" w:type="pct"/>
          </w:tcPr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pct"/>
          </w:tcPr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9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F4483" w:rsidRPr="00994A15" w:rsidTr="00EF4483">
        <w:tc>
          <w:tcPr>
            <w:tcW w:w="764" w:type="pct"/>
          </w:tcPr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pct"/>
          </w:tcPr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9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F4483" w:rsidRPr="00994A15" w:rsidTr="00EF4483">
        <w:tc>
          <w:tcPr>
            <w:tcW w:w="764" w:type="pct"/>
          </w:tcPr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pct"/>
          </w:tcPr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9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8" w:type="pct"/>
          </w:tcPr>
          <w:p w:rsidR="00EF4483" w:rsidRPr="00994A15" w:rsidRDefault="00EF4483" w:rsidP="00994A15">
            <w:pPr>
              <w:tabs>
                <w:tab w:val="left" w:pos="14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4A15" w:rsidRPr="00D02DDD" w:rsidRDefault="00994A15" w:rsidP="00994A15">
      <w:pPr>
        <w:jc w:val="both"/>
        <w:rPr>
          <w:rFonts w:ascii="Verdana" w:hAnsi="Verdana"/>
          <w:sz w:val="20"/>
          <w:szCs w:val="20"/>
        </w:rPr>
      </w:pPr>
    </w:p>
    <w:p w:rsidR="00D02DDD" w:rsidRPr="00D02DDD" w:rsidRDefault="00D02DDD" w:rsidP="00994A15">
      <w:pPr>
        <w:jc w:val="both"/>
        <w:rPr>
          <w:rFonts w:ascii="Verdana" w:hAnsi="Verdana"/>
          <w:sz w:val="20"/>
          <w:szCs w:val="20"/>
        </w:rPr>
      </w:pPr>
      <w:r w:rsidRPr="00D02DDD">
        <w:rPr>
          <w:rFonts w:ascii="Verdana" w:hAnsi="Verdana"/>
          <w:sz w:val="20"/>
          <w:szCs w:val="20"/>
        </w:rPr>
        <w:t>Matriz de riesgo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6"/>
        <w:gridCol w:w="2294"/>
        <w:gridCol w:w="1559"/>
        <w:gridCol w:w="1701"/>
        <w:gridCol w:w="1393"/>
        <w:gridCol w:w="1407"/>
      </w:tblGrid>
      <w:tr w:rsidR="002930AA" w:rsidRPr="00D96FB5" w:rsidTr="00D96FB5">
        <w:trPr>
          <w:jc w:val="center"/>
        </w:trPr>
        <w:tc>
          <w:tcPr>
            <w:tcW w:w="8720" w:type="dxa"/>
            <w:gridSpan w:val="6"/>
          </w:tcPr>
          <w:p w:rsidR="002930AA" w:rsidRPr="00D96FB5" w:rsidRDefault="002930AA" w:rsidP="002930A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Riesgo estimado</w:t>
            </w:r>
          </w:p>
        </w:tc>
      </w:tr>
      <w:tr w:rsidR="00D96FB5" w:rsidRPr="00D96FB5" w:rsidTr="00D96FB5">
        <w:trPr>
          <w:jc w:val="center"/>
        </w:trPr>
        <w:tc>
          <w:tcPr>
            <w:tcW w:w="366" w:type="dxa"/>
            <w:vMerge w:val="restart"/>
          </w:tcPr>
          <w:p w:rsidR="00D96FB5" w:rsidRPr="00D96FB5" w:rsidRDefault="00D96FB5" w:rsidP="00D96FB5"/>
        </w:tc>
        <w:tc>
          <w:tcPr>
            <w:tcW w:w="2294" w:type="dxa"/>
          </w:tcPr>
          <w:p w:rsidR="00D96FB5" w:rsidRPr="00D96FB5" w:rsidRDefault="00D96FB5" w:rsidP="00D96FB5">
            <w:pPr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Altamente posible</w:t>
            </w:r>
          </w:p>
        </w:tc>
        <w:tc>
          <w:tcPr>
            <w:tcW w:w="1559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Bajo</w:t>
            </w:r>
          </w:p>
        </w:tc>
        <w:tc>
          <w:tcPr>
            <w:tcW w:w="1701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Moderado</w:t>
            </w:r>
          </w:p>
        </w:tc>
        <w:tc>
          <w:tcPr>
            <w:tcW w:w="1393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407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Alto</w:t>
            </w:r>
          </w:p>
        </w:tc>
      </w:tr>
      <w:tr w:rsidR="00D96FB5" w:rsidRPr="00D96FB5" w:rsidTr="00D96FB5">
        <w:trPr>
          <w:jc w:val="center"/>
        </w:trPr>
        <w:tc>
          <w:tcPr>
            <w:tcW w:w="366" w:type="dxa"/>
            <w:vMerge/>
          </w:tcPr>
          <w:p w:rsidR="00D96FB5" w:rsidRPr="00D96FB5" w:rsidRDefault="00D96FB5" w:rsidP="00994A1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4" w:type="dxa"/>
          </w:tcPr>
          <w:p w:rsidR="00D96FB5" w:rsidRPr="00D96FB5" w:rsidRDefault="00D96FB5" w:rsidP="00D96FB5">
            <w:pPr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Posible</w:t>
            </w:r>
          </w:p>
        </w:tc>
        <w:tc>
          <w:tcPr>
            <w:tcW w:w="1559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Insignificante</w:t>
            </w:r>
          </w:p>
        </w:tc>
        <w:tc>
          <w:tcPr>
            <w:tcW w:w="1701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Bajo</w:t>
            </w:r>
          </w:p>
        </w:tc>
        <w:tc>
          <w:tcPr>
            <w:tcW w:w="1393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407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Alto</w:t>
            </w:r>
          </w:p>
        </w:tc>
      </w:tr>
      <w:tr w:rsidR="00D96FB5" w:rsidRPr="00D96FB5" w:rsidTr="00D96FB5">
        <w:trPr>
          <w:jc w:val="center"/>
        </w:trPr>
        <w:tc>
          <w:tcPr>
            <w:tcW w:w="366" w:type="dxa"/>
            <w:vMerge/>
          </w:tcPr>
          <w:p w:rsidR="00D96FB5" w:rsidRPr="00D96FB5" w:rsidRDefault="00D96FB5" w:rsidP="00994A1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4" w:type="dxa"/>
          </w:tcPr>
          <w:p w:rsidR="00D96FB5" w:rsidRPr="00D96FB5" w:rsidRDefault="00D96FB5" w:rsidP="00D96FB5">
            <w:pPr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Poco posible</w:t>
            </w:r>
          </w:p>
        </w:tc>
        <w:tc>
          <w:tcPr>
            <w:tcW w:w="1559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Insignificante</w:t>
            </w:r>
          </w:p>
        </w:tc>
        <w:tc>
          <w:tcPr>
            <w:tcW w:w="1701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Bajo</w:t>
            </w:r>
          </w:p>
        </w:tc>
        <w:tc>
          <w:tcPr>
            <w:tcW w:w="1393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Moderado</w:t>
            </w:r>
          </w:p>
        </w:tc>
        <w:tc>
          <w:tcPr>
            <w:tcW w:w="1407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Alto</w:t>
            </w:r>
          </w:p>
        </w:tc>
      </w:tr>
      <w:tr w:rsidR="00D96FB5" w:rsidRPr="00D96FB5" w:rsidTr="00D96FB5">
        <w:trPr>
          <w:trHeight w:val="230"/>
          <w:jc w:val="center"/>
        </w:trPr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D96FB5" w:rsidRPr="00D96FB5" w:rsidRDefault="00D96FB5" w:rsidP="00994A1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4" w:type="dxa"/>
          </w:tcPr>
          <w:p w:rsidR="00D96FB5" w:rsidRPr="00D96FB5" w:rsidRDefault="00D96FB5" w:rsidP="00D96FB5">
            <w:pPr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Altamente improbable</w:t>
            </w:r>
          </w:p>
        </w:tc>
        <w:tc>
          <w:tcPr>
            <w:tcW w:w="1559" w:type="dxa"/>
          </w:tcPr>
          <w:p w:rsidR="00D96FB5" w:rsidRPr="00D96FB5" w:rsidRDefault="00D96FB5" w:rsidP="00D96FB5">
            <w:pPr>
              <w:jc w:val="center"/>
              <w:rPr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Insignificante</w:t>
            </w:r>
          </w:p>
        </w:tc>
        <w:tc>
          <w:tcPr>
            <w:tcW w:w="1701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Insignificante</w:t>
            </w:r>
          </w:p>
        </w:tc>
        <w:tc>
          <w:tcPr>
            <w:tcW w:w="1393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Bajo</w:t>
            </w:r>
          </w:p>
        </w:tc>
        <w:tc>
          <w:tcPr>
            <w:tcW w:w="1407" w:type="dxa"/>
          </w:tcPr>
          <w:p w:rsidR="00D96FB5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Moderado</w:t>
            </w:r>
          </w:p>
        </w:tc>
      </w:tr>
      <w:tr w:rsidR="002930AA" w:rsidRPr="00D96FB5" w:rsidTr="00D96FB5">
        <w:trPr>
          <w:jc w:val="center"/>
        </w:trPr>
        <w:tc>
          <w:tcPr>
            <w:tcW w:w="2660" w:type="dxa"/>
            <w:gridSpan w:val="2"/>
            <w:tcBorders>
              <w:left w:val="nil"/>
              <w:bottom w:val="nil"/>
            </w:tcBorders>
          </w:tcPr>
          <w:p w:rsidR="002930AA" w:rsidRPr="00D96FB5" w:rsidRDefault="002930AA" w:rsidP="00994A1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0AA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Mínimas</w:t>
            </w:r>
          </w:p>
        </w:tc>
        <w:tc>
          <w:tcPr>
            <w:tcW w:w="1701" w:type="dxa"/>
          </w:tcPr>
          <w:p w:rsidR="002930AA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Menores</w:t>
            </w:r>
          </w:p>
        </w:tc>
        <w:tc>
          <w:tcPr>
            <w:tcW w:w="1393" w:type="dxa"/>
          </w:tcPr>
          <w:p w:rsidR="002930AA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Intermedia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407" w:type="dxa"/>
          </w:tcPr>
          <w:p w:rsidR="002930AA" w:rsidRPr="00D96FB5" w:rsidRDefault="00D96FB5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Graves</w:t>
            </w:r>
          </w:p>
        </w:tc>
      </w:tr>
      <w:tr w:rsidR="002930AA" w:rsidRPr="00D96FB5" w:rsidTr="00D96FB5">
        <w:trPr>
          <w:jc w:val="center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</w:tcBorders>
          </w:tcPr>
          <w:p w:rsidR="002930AA" w:rsidRPr="00D96FB5" w:rsidRDefault="002930AA" w:rsidP="00994A1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0" w:type="dxa"/>
            <w:gridSpan w:val="4"/>
          </w:tcPr>
          <w:p w:rsidR="002930AA" w:rsidRPr="00D96FB5" w:rsidRDefault="002930AA" w:rsidP="00D96F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6FB5">
              <w:rPr>
                <w:rFonts w:ascii="Verdana" w:hAnsi="Verdana"/>
                <w:sz w:val="18"/>
                <w:szCs w:val="18"/>
              </w:rPr>
              <w:t>Consecuencias</w:t>
            </w:r>
          </w:p>
        </w:tc>
      </w:tr>
    </w:tbl>
    <w:p w:rsidR="002930AA" w:rsidRPr="00D02DDD" w:rsidRDefault="002930AA" w:rsidP="00994A15">
      <w:pPr>
        <w:jc w:val="both"/>
        <w:rPr>
          <w:rFonts w:ascii="Verdana" w:hAnsi="Verdana"/>
          <w:sz w:val="20"/>
          <w:szCs w:val="20"/>
        </w:rPr>
      </w:pPr>
    </w:p>
    <w:p w:rsidR="00D02DDD" w:rsidRDefault="00D02DDD" w:rsidP="00994A15">
      <w:pPr>
        <w:jc w:val="both"/>
        <w:rPr>
          <w:rFonts w:ascii="Verdana" w:hAnsi="Verdana"/>
          <w:bCs/>
          <w:iCs/>
          <w:sz w:val="20"/>
          <w:szCs w:val="20"/>
          <w:lang w:val="es-ES_tradnl"/>
        </w:rPr>
      </w:pPr>
      <w:r w:rsidRPr="00D02DDD">
        <w:rPr>
          <w:rFonts w:ascii="Verdana" w:hAnsi="Verdana"/>
          <w:bCs/>
          <w:iCs/>
          <w:sz w:val="20"/>
          <w:szCs w:val="20"/>
          <w:lang w:val="es-ES_tradnl"/>
        </w:rPr>
        <w:t>Parámetros de la posibilidad de ocurrencia.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1526"/>
        <w:gridCol w:w="7354"/>
      </w:tblGrid>
      <w:tr w:rsidR="00FF71CF" w:rsidRPr="004309B4" w:rsidTr="00FF71CF">
        <w:tc>
          <w:tcPr>
            <w:tcW w:w="1526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Altamente posible</w:t>
            </w:r>
          </w:p>
        </w:tc>
        <w:tc>
          <w:tcPr>
            <w:tcW w:w="7354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Se espera que ocurra en cualquier condición bajo la que se realiza la actividad.</w:t>
            </w:r>
          </w:p>
        </w:tc>
      </w:tr>
      <w:tr w:rsidR="00FF71CF" w:rsidRPr="004309B4" w:rsidTr="00FF71CF">
        <w:tc>
          <w:tcPr>
            <w:tcW w:w="1526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Posible</w:t>
            </w:r>
          </w:p>
        </w:tc>
        <w:tc>
          <w:tcPr>
            <w:tcW w:w="7354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Puede ocurrir bajo condiciones normales de desarrollo de la actividad.</w:t>
            </w:r>
          </w:p>
        </w:tc>
      </w:tr>
      <w:tr w:rsidR="00FF71CF" w:rsidRPr="004309B4" w:rsidTr="00FF71CF">
        <w:tc>
          <w:tcPr>
            <w:tcW w:w="1526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Poco posible</w:t>
            </w:r>
          </w:p>
        </w:tc>
        <w:tc>
          <w:tcPr>
            <w:tcW w:w="7354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Ocurre solo bajo condiciones inusuales</w:t>
            </w:r>
          </w:p>
        </w:tc>
      </w:tr>
      <w:tr w:rsidR="00FF71CF" w:rsidRPr="004309B4" w:rsidTr="00FF71CF">
        <w:tc>
          <w:tcPr>
            <w:tcW w:w="1526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Altamente improbable</w:t>
            </w:r>
          </w:p>
        </w:tc>
        <w:tc>
          <w:tcPr>
            <w:tcW w:w="7354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Solo ocurre bajo condiciones excepcionales</w:t>
            </w:r>
          </w:p>
        </w:tc>
      </w:tr>
    </w:tbl>
    <w:p w:rsidR="00FF71CF" w:rsidRDefault="00FF71CF" w:rsidP="00994A15">
      <w:pPr>
        <w:jc w:val="both"/>
        <w:rPr>
          <w:rFonts w:ascii="Verdana" w:hAnsi="Verdana"/>
          <w:bCs/>
          <w:iCs/>
          <w:sz w:val="20"/>
          <w:szCs w:val="20"/>
          <w:lang w:val="es-ES_tradnl"/>
        </w:rPr>
      </w:pPr>
    </w:p>
    <w:p w:rsidR="00D02DDD" w:rsidRDefault="00D02DDD" w:rsidP="00994A15">
      <w:pPr>
        <w:jc w:val="both"/>
        <w:rPr>
          <w:rFonts w:ascii="Verdana" w:hAnsi="Verdana"/>
          <w:bCs/>
          <w:iCs/>
          <w:sz w:val="20"/>
          <w:szCs w:val="20"/>
          <w:lang w:val="es-ES_tradnl"/>
        </w:rPr>
      </w:pPr>
      <w:r w:rsidRPr="00D02DDD">
        <w:rPr>
          <w:rFonts w:ascii="Verdana" w:hAnsi="Verdana"/>
          <w:bCs/>
          <w:iCs/>
          <w:sz w:val="20"/>
          <w:szCs w:val="20"/>
          <w:lang w:val="es-ES_tradnl"/>
        </w:rPr>
        <w:t>Parámetros de</w:t>
      </w:r>
      <w:r>
        <w:rPr>
          <w:rFonts w:ascii="Verdana" w:hAnsi="Verdana"/>
          <w:bCs/>
          <w:iCs/>
          <w:sz w:val="20"/>
          <w:szCs w:val="20"/>
          <w:lang w:val="es-ES_tradnl"/>
        </w:rPr>
        <w:t xml:space="preserve"> consecuencias</w:t>
      </w:r>
      <w:r w:rsidR="004309B4">
        <w:rPr>
          <w:rFonts w:ascii="Verdana" w:hAnsi="Verdana"/>
          <w:bCs/>
          <w:iCs/>
          <w:sz w:val="20"/>
          <w:szCs w:val="20"/>
          <w:lang w:val="es-ES_tradnl"/>
        </w:rPr>
        <w:t>.</w:t>
      </w:r>
    </w:p>
    <w:p w:rsidR="00FF71CF" w:rsidRDefault="00FF71CF" w:rsidP="00994A15">
      <w:pPr>
        <w:jc w:val="both"/>
        <w:rPr>
          <w:rFonts w:ascii="Verdana" w:hAnsi="Verdana"/>
          <w:bCs/>
          <w:i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"/>
        <w:gridCol w:w="7216"/>
      </w:tblGrid>
      <w:tr w:rsidR="00FF71CF" w:rsidRPr="004309B4" w:rsidTr="00FF71CF">
        <w:tc>
          <w:tcPr>
            <w:tcW w:w="1428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Mínimas</w:t>
            </w:r>
          </w:p>
        </w:tc>
        <w:tc>
          <w:tcPr>
            <w:tcW w:w="7216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-No ocurren lesiones o son mínimas para pocos individuos que pueden requerir primeros auxilios.</w:t>
            </w:r>
          </w:p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-No hay degradación al ambiente o son mínimas.</w:t>
            </w:r>
          </w:p>
        </w:tc>
      </w:tr>
      <w:tr w:rsidR="00FF71CF" w:rsidRPr="004309B4" w:rsidTr="00FF71CF">
        <w:tc>
          <w:tcPr>
            <w:tcW w:w="1428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Menores</w:t>
            </w:r>
          </w:p>
        </w:tc>
        <w:tc>
          <w:tcPr>
            <w:tcW w:w="7216" w:type="dxa"/>
          </w:tcPr>
          <w:p w:rsidR="00FF71CF" w:rsidRPr="004309B4" w:rsidRDefault="00FF71CF" w:rsidP="001A5076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 xml:space="preserve">-Lesiones ligeras </w:t>
            </w:r>
            <w:r w:rsidR="00B91278"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 xml:space="preserve">a personas </w:t>
            </w: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 xml:space="preserve">que puede requerir tratamiento médico. </w:t>
            </w:r>
          </w:p>
          <w:p w:rsidR="00FF71CF" w:rsidRPr="004309B4" w:rsidRDefault="00FF71CF" w:rsidP="00FF71CF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-Alteración (reversible y limitada en el tiempo)</w:t>
            </w:r>
            <w:r w:rsidR="00B91278"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 xml:space="preserve"> de comunidades biológicas.</w:t>
            </w:r>
          </w:p>
        </w:tc>
      </w:tr>
      <w:tr w:rsidR="00FF71CF" w:rsidRPr="004309B4" w:rsidTr="00FF71CF">
        <w:tc>
          <w:tcPr>
            <w:tcW w:w="1428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Intermedias</w:t>
            </w:r>
          </w:p>
        </w:tc>
        <w:tc>
          <w:tcPr>
            <w:tcW w:w="7216" w:type="dxa"/>
          </w:tcPr>
          <w:p w:rsidR="00B91278" w:rsidRPr="004309B4" w:rsidRDefault="00B91278" w:rsidP="00B91278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 xml:space="preserve">Lesiones a algunas personas que requieren tratamiento médico. </w:t>
            </w:r>
          </w:p>
          <w:p w:rsidR="00FF71CF" w:rsidRPr="004309B4" w:rsidRDefault="00FF71CF" w:rsidP="00B91278">
            <w:pPr>
              <w:rPr>
                <w:sz w:val="18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-</w:t>
            </w:r>
            <w:r w:rsidR="00B91278"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 xml:space="preserve"> Alteración generalizada a comunidades biológicas pero reversible o de severidad limitada.</w:t>
            </w:r>
          </w:p>
        </w:tc>
      </w:tr>
      <w:tr w:rsidR="00FF71CF" w:rsidRPr="004309B4" w:rsidTr="00FF71CF">
        <w:tc>
          <w:tcPr>
            <w:tcW w:w="1428" w:type="dxa"/>
          </w:tcPr>
          <w:p w:rsidR="00FF71CF" w:rsidRPr="004309B4" w:rsidRDefault="00FF71CF" w:rsidP="00994A15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Graves</w:t>
            </w:r>
          </w:p>
        </w:tc>
        <w:tc>
          <w:tcPr>
            <w:tcW w:w="7216" w:type="dxa"/>
          </w:tcPr>
          <w:p w:rsidR="00FF71CF" w:rsidRPr="004309B4" w:rsidRDefault="00FF71CF" w:rsidP="001A5076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-</w:t>
            </w:r>
            <w:r w:rsidR="00B91278"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Lesiones severas de algunas personas que pueden requerir de hospitalización o pueden producir la muerte.</w:t>
            </w:r>
          </w:p>
          <w:p w:rsidR="00FF71CF" w:rsidRPr="004309B4" w:rsidRDefault="00FF71CF" w:rsidP="00B91278">
            <w:pPr>
              <w:jc w:val="both"/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</w:pPr>
            <w:r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-</w:t>
            </w:r>
            <w:r w:rsidR="00B91278" w:rsidRPr="004309B4">
              <w:rPr>
                <w:rFonts w:ascii="Verdana" w:hAnsi="Verdana"/>
                <w:bCs/>
                <w:iCs/>
                <w:sz w:val="18"/>
                <w:szCs w:val="20"/>
                <w:lang w:val="es-ES_tradnl"/>
              </w:rPr>
              <w:t>Amplia alteración biológica y física de ecosistemas completos, comunidades y especies que persiste con el tiempo y no es fácilmente reversible.</w:t>
            </w:r>
          </w:p>
        </w:tc>
      </w:tr>
    </w:tbl>
    <w:p w:rsidR="00FF71CF" w:rsidRDefault="00FF71CF" w:rsidP="004309B4">
      <w:pPr>
        <w:jc w:val="both"/>
        <w:rPr>
          <w:rFonts w:ascii="Verdana" w:hAnsi="Verdana"/>
          <w:bCs/>
          <w:iCs/>
          <w:sz w:val="20"/>
          <w:szCs w:val="20"/>
          <w:lang w:val="es-ES_tradnl"/>
        </w:rPr>
      </w:pPr>
    </w:p>
    <w:p w:rsidR="00445D72" w:rsidRDefault="00445D72" w:rsidP="004309B4">
      <w:pPr>
        <w:jc w:val="both"/>
        <w:rPr>
          <w:rFonts w:ascii="Verdana" w:hAnsi="Verdana"/>
          <w:bCs/>
          <w:iCs/>
          <w:sz w:val="20"/>
          <w:szCs w:val="20"/>
          <w:lang w:val="es-ES_tradnl"/>
        </w:rPr>
      </w:pPr>
      <w:r>
        <w:rPr>
          <w:rFonts w:ascii="Verdana" w:hAnsi="Verdana"/>
          <w:bCs/>
          <w:iCs/>
          <w:sz w:val="20"/>
          <w:szCs w:val="20"/>
          <w:lang w:val="es-ES_tradnl"/>
        </w:rPr>
        <w:t>Identifique al menos 3 medidas de gestión de riesgo para los peligros altos o moderados.</w:t>
      </w:r>
    </w:p>
    <w:sectPr w:rsidR="00445D72" w:rsidSect="002D505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80B1A"/>
    <w:rsid w:val="002146AE"/>
    <w:rsid w:val="002930AA"/>
    <w:rsid w:val="002D5054"/>
    <w:rsid w:val="004309B4"/>
    <w:rsid w:val="00445D72"/>
    <w:rsid w:val="00994A15"/>
    <w:rsid w:val="00B91278"/>
    <w:rsid w:val="00D02DDD"/>
    <w:rsid w:val="00D96FB5"/>
    <w:rsid w:val="00E4395C"/>
    <w:rsid w:val="00EF2961"/>
    <w:rsid w:val="00EF4483"/>
    <w:rsid w:val="00F43062"/>
    <w:rsid w:val="00F73E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3027-5722-4027-AFFA-C47876A5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A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2146AE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PuestoCar">
    <w:name w:val="Puesto Car"/>
    <w:link w:val="Puesto"/>
    <w:uiPriority w:val="10"/>
    <w:rsid w:val="002146AE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2146AE"/>
    <w:pPr>
      <w:autoSpaceDE w:val="0"/>
      <w:autoSpaceDN w:val="0"/>
    </w:pPr>
    <w:rPr>
      <w:rFonts w:ascii="Cambria" w:hAnsi="Cambria"/>
      <w:lang w:eastAsia="en-US"/>
    </w:rPr>
  </w:style>
  <w:style w:type="character" w:customStyle="1" w:styleId="SubttuloCar">
    <w:name w:val="Subtítulo Car"/>
    <w:link w:val="Subttulo"/>
    <w:uiPriority w:val="11"/>
    <w:rsid w:val="002146AE"/>
    <w:rPr>
      <w:rFonts w:ascii="Cambria" w:hAnsi="Cambria"/>
      <w:sz w:val="24"/>
      <w:szCs w:val="24"/>
    </w:rPr>
  </w:style>
  <w:style w:type="character" w:styleId="Textoennegrita">
    <w:name w:val="Strong"/>
    <w:uiPriority w:val="22"/>
    <w:qFormat/>
    <w:rsid w:val="002146AE"/>
    <w:rPr>
      <w:b/>
      <w:bCs/>
    </w:rPr>
  </w:style>
  <w:style w:type="paragraph" w:styleId="Sinespaciado">
    <w:name w:val="No Spacing"/>
    <w:uiPriority w:val="1"/>
    <w:qFormat/>
    <w:rsid w:val="002146AE"/>
    <w:rPr>
      <w:lang w:val="en-US"/>
    </w:rPr>
  </w:style>
  <w:style w:type="table" w:styleId="Tablaconcuadrcula">
    <w:name w:val="Table Grid"/>
    <w:basedOn w:val="Tablanormal"/>
    <w:rsid w:val="00994A15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D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Leyenis Garcia Santos</dc:creator>
  <cp:lastModifiedBy>LPChirino</cp:lastModifiedBy>
  <cp:revision>14</cp:revision>
  <cp:lastPrinted>2012-10-12T18:36:00Z</cp:lastPrinted>
  <dcterms:created xsi:type="dcterms:W3CDTF">2012-10-11T21:50:00Z</dcterms:created>
  <dcterms:modified xsi:type="dcterms:W3CDTF">2018-12-13T20:48:00Z</dcterms:modified>
</cp:coreProperties>
</file>